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460" w14:textId="34470256" w:rsidR="008C4DAF" w:rsidRDefault="008C4DAF" w:rsidP="006F4EBE">
      <w:pPr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8C4DAF">
        <w:rPr>
          <w:b/>
          <w:i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3CD5ED3" wp14:editId="38294A77">
            <wp:simplePos x="0" y="0"/>
            <wp:positionH relativeFrom="column">
              <wp:posOffset>2603500</wp:posOffset>
            </wp:positionH>
            <wp:positionV relativeFrom="paragraph">
              <wp:posOffset>0</wp:posOffset>
            </wp:positionV>
            <wp:extent cx="901700" cy="90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Safe_Logo_SM_Eng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BE03D" w14:textId="35585F8D" w:rsidR="008C4DAF" w:rsidRDefault="008C4DAF" w:rsidP="006F4EBE">
      <w:pPr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38CF738A" w14:textId="77777777" w:rsidR="008C4DAF" w:rsidRDefault="008C4DAF" w:rsidP="006F4EBE">
      <w:pPr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158A7CF2" w14:textId="1A8690EB" w:rsidR="008C4DAF" w:rsidRPr="008C4DAF" w:rsidRDefault="006F4EBE" w:rsidP="006F4EBE">
      <w:pPr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8C4DAF">
        <w:rPr>
          <w:rFonts w:ascii="Arial" w:hAnsi="Arial" w:cs="Arial"/>
          <w:b/>
          <w:caps/>
          <w:color w:val="000000" w:themeColor="text1"/>
          <w:sz w:val="28"/>
          <w:szCs w:val="28"/>
        </w:rPr>
        <w:t>inte</w:t>
      </w:r>
      <w:r w:rsidR="00202194" w:rsidRPr="008C4DAF">
        <w:rPr>
          <w:rFonts w:ascii="Arial" w:hAnsi="Arial" w:cs="Arial"/>
          <w:b/>
          <w:caps/>
          <w:color w:val="000000" w:themeColor="text1"/>
          <w:sz w:val="28"/>
          <w:szCs w:val="28"/>
        </w:rPr>
        <w:t>rnal talking points for April DigSafe Month</w:t>
      </w:r>
    </w:p>
    <w:p w14:paraId="2A8DD28C" w14:textId="02182B4B" w:rsidR="006F4EBE" w:rsidRPr="008C4DAF" w:rsidRDefault="006F4EBE" w:rsidP="008C4DAF">
      <w:pPr>
        <w:rPr>
          <w:rFonts w:ascii="Arial" w:hAnsi="Arial" w:cs="Arial"/>
        </w:rPr>
      </w:pPr>
      <w:r>
        <w:rPr>
          <w:rFonts w:ascii="Arial" w:hAnsi="Arial" w:cs="Arial"/>
        </w:rPr>
        <w:t>Many</w:t>
      </w:r>
      <w:r w:rsidRPr="00DD6123">
        <w:rPr>
          <w:rFonts w:ascii="Arial" w:hAnsi="Arial" w:cs="Arial"/>
        </w:rPr>
        <w:t xml:space="preserve"> </w:t>
      </w:r>
      <w:r w:rsidR="00202194">
        <w:rPr>
          <w:rFonts w:ascii="Arial" w:hAnsi="Arial" w:cs="Arial"/>
        </w:rPr>
        <w:t>damage prevention</w:t>
      </w:r>
      <w:r w:rsidRPr="00DD6123">
        <w:rPr>
          <w:rFonts w:ascii="Arial" w:hAnsi="Arial" w:cs="Arial"/>
        </w:rPr>
        <w:t xml:space="preserve"> stakeholders often begin each meeting with a safety message. Below</w:t>
      </w:r>
      <w:r w:rsidR="00202194">
        <w:rPr>
          <w:rFonts w:ascii="Arial" w:hAnsi="Arial" w:cs="Arial"/>
        </w:rPr>
        <w:t>,</w:t>
      </w:r>
      <w:r w:rsidRPr="00DD6123">
        <w:rPr>
          <w:rFonts w:ascii="Arial" w:hAnsi="Arial" w:cs="Arial"/>
        </w:rPr>
        <w:t xml:space="preserve"> </w:t>
      </w:r>
      <w:r w:rsidR="00A3215E">
        <w:rPr>
          <w:rFonts w:ascii="Arial" w:hAnsi="Arial" w:cs="Arial"/>
        </w:rPr>
        <w:t xml:space="preserve">the </w:t>
      </w:r>
      <w:r w:rsidR="00A3215E" w:rsidRPr="00A3215E">
        <w:rPr>
          <w:rFonts w:ascii="Arial" w:hAnsi="Arial" w:cs="Arial"/>
          <w:highlight w:val="yellow"/>
        </w:rPr>
        <w:t>[REGIONAL CGA PARTNER]</w:t>
      </w:r>
      <w:r w:rsidRPr="00DD6123">
        <w:rPr>
          <w:rFonts w:ascii="Arial" w:hAnsi="Arial" w:cs="Arial"/>
        </w:rPr>
        <w:t xml:space="preserve"> has provided talking points that can be presented at your company’s next saf</w:t>
      </w:r>
      <w:r>
        <w:rPr>
          <w:rFonts w:ascii="Arial" w:hAnsi="Arial" w:cs="Arial"/>
        </w:rPr>
        <w:t xml:space="preserve">ety meeting </w:t>
      </w:r>
      <w:r w:rsidR="00A3215E">
        <w:rPr>
          <w:rFonts w:ascii="Arial" w:hAnsi="Arial" w:cs="Arial"/>
        </w:rPr>
        <w:t>during</w:t>
      </w:r>
      <w:r w:rsidR="00202194">
        <w:rPr>
          <w:rFonts w:ascii="Arial" w:hAnsi="Arial" w:cs="Arial"/>
        </w:rPr>
        <w:t xml:space="preserve"> April</w:t>
      </w:r>
      <w:r w:rsidRPr="00DD6123">
        <w:rPr>
          <w:rFonts w:ascii="Arial" w:hAnsi="Arial" w:cs="Arial"/>
        </w:rPr>
        <w:t xml:space="preserve"> to </w:t>
      </w:r>
      <w:r w:rsidR="00202194">
        <w:rPr>
          <w:rFonts w:ascii="Arial" w:hAnsi="Arial" w:cs="Arial"/>
        </w:rPr>
        <w:t>help educate employees about ClickBeforeYouDig.com</w:t>
      </w:r>
      <w:r w:rsidRPr="00DD6123">
        <w:rPr>
          <w:rFonts w:ascii="Arial" w:hAnsi="Arial" w:cs="Arial"/>
        </w:rPr>
        <w:t xml:space="preserve"> and its role in protecting the safety of workers, customers and entire communities. </w:t>
      </w:r>
      <w:bookmarkStart w:id="0" w:name="_GoBack"/>
      <w:bookmarkEnd w:id="0"/>
    </w:p>
    <w:p w14:paraId="1DD314BC" w14:textId="77777777" w:rsidR="006F4EBE" w:rsidRPr="00C61C5E" w:rsidRDefault="006F4EBE" w:rsidP="006F4EBE">
      <w:pPr>
        <w:pStyle w:val="BodyText"/>
        <w:jc w:val="left"/>
        <w:rPr>
          <w:rFonts w:ascii="Arial" w:hAnsi="Arial" w:cs="Arial"/>
          <w:bCs w:val="0"/>
          <w:sz w:val="22"/>
          <w:szCs w:val="22"/>
        </w:rPr>
      </w:pPr>
      <w:r w:rsidRPr="00C61C5E">
        <w:rPr>
          <w:rFonts w:ascii="Arial" w:hAnsi="Arial" w:cs="Arial"/>
          <w:bCs w:val="0"/>
          <w:sz w:val="22"/>
          <w:szCs w:val="22"/>
        </w:rPr>
        <w:t xml:space="preserve">Key </w:t>
      </w:r>
      <w:r>
        <w:rPr>
          <w:rFonts w:ascii="Arial" w:hAnsi="Arial" w:cs="Arial"/>
          <w:bCs w:val="0"/>
          <w:sz w:val="22"/>
          <w:szCs w:val="22"/>
        </w:rPr>
        <w:t>messages</w:t>
      </w:r>
      <w:r w:rsidRPr="00C61C5E">
        <w:rPr>
          <w:rFonts w:ascii="Arial" w:hAnsi="Arial" w:cs="Arial"/>
          <w:bCs w:val="0"/>
          <w:sz w:val="22"/>
          <w:szCs w:val="22"/>
        </w:rPr>
        <w:t>:</w:t>
      </w:r>
    </w:p>
    <w:p w14:paraId="45CF3BE6" w14:textId="304335C0" w:rsidR="006F4EBE" w:rsidRPr="00C61C5E" w:rsidRDefault="006F4EBE" w:rsidP="006F4EBE">
      <w:pPr>
        <w:pStyle w:val="BodyText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61C5E">
        <w:rPr>
          <w:rFonts w:ascii="Arial" w:hAnsi="Arial" w:cs="Arial"/>
          <w:b w:val="0"/>
          <w:bCs w:val="0"/>
          <w:sz w:val="20"/>
          <w:szCs w:val="20"/>
        </w:rPr>
        <w:t xml:space="preserve">Every digging project requires a </w:t>
      </w:r>
      <w:r w:rsidR="00202194">
        <w:rPr>
          <w:rFonts w:ascii="Arial" w:hAnsi="Arial" w:cs="Arial"/>
          <w:b w:val="0"/>
          <w:bCs w:val="0"/>
          <w:sz w:val="20"/>
          <w:szCs w:val="20"/>
        </w:rPr>
        <w:t>visit to ClickBeforeYouDig.com</w:t>
      </w:r>
      <w:r w:rsidRPr="00C61C5E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3A39CAF6" w14:textId="45961AE1" w:rsidR="006F4EBE" w:rsidRDefault="00F261E5" w:rsidP="006F4EBE">
      <w:pPr>
        <w:pStyle w:val="BodyText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Submitting a locate request</w:t>
      </w:r>
      <w:r w:rsidR="006F4EBE" w:rsidRPr="00C61C5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through ClickBeforeYouDig.com </w:t>
      </w:r>
      <w:r w:rsidR="006F4EBE">
        <w:rPr>
          <w:rFonts w:ascii="Arial" w:hAnsi="Arial" w:cs="Arial"/>
          <w:b w:val="0"/>
          <w:bCs w:val="0"/>
          <w:sz w:val="20"/>
          <w:szCs w:val="20"/>
        </w:rPr>
        <w:t xml:space="preserve">a few days </w:t>
      </w:r>
      <w:r w:rsidR="006F4EBE" w:rsidRPr="00C61C5E">
        <w:rPr>
          <w:rFonts w:ascii="Arial" w:hAnsi="Arial" w:cs="Arial"/>
          <w:b w:val="0"/>
          <w:bCs w:val="0"/>
          <w:sz w:val="20"/>
          <w:szCs w:val="20"/>
        </w:rPr>
        <w:t>prior to digging notifies utility companies of the intent to dig and gives representatives time to mark the appropriate lines.</w:t>
      </w:r>
    </w:p>
    <w:p w14:paraId="562C0221" w14:textId="3F89BCE1" w:rsidR="006F4EBE" w:rsidRPr="00C61C5E" w:rsidRDefault="00F261E5" w:rsidP="006F4EBE">
      <w:pPr>
        <w:pStyle w:val="BodyText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April is the start</w:t>
      </w:r>
      <w:r w:rsidR="00202194">
        <w:rPr>
          <w:rFonts w:ascii="Arial" w:hAnsi="Arial" w:cs="Arial"/>
          <w:b w:val="0"/>
          <w:bCs w:val="0"/>
          <w:sz w:val="20"/>
          <w:szCs w:val="20"/>
        </w:rPr>
        <w:t xml:space="preserve"> of the spring digging season</w:t>
      </w:r>
      <w:r w:rsidR="006F4EBE">
        <w:rPr>
          <w:rFonts w:ascii="Arial" w:hAnsi="Arial" w:cs="Arial"/>
          <w:b w:val="0"/>
          <w:bCs w:val="0"/>
          <w:sz w:val="20"/>
          <w:szCs w:val="20"/>
        </w:rPr>
        <w:t xml:space="preserve">, a natural reminder for people to </w:t>
      </w:r>
      <w:r>
        <w:rPr>
          <w:rFonts w:ascii="Arial" w:hAnsi="Arial" w:cs="Arial"/>
          <w:b w:val="0"/>
          <w:bCs w:val="0"/>
          <w:sz w:val="20"/>
          <w:szCs w:val="20"/>
        </w:rPr>
        <w:t>always click before you d</w:t>
      </w:r>
      <w:r w:rsidR="00202194">
        <w:rPr>
          <w:rFonts w:ascii="Arial" w:hAnsi="Arial" w:cs="Arial"/>
          <w:b w:val="0"/>
          <w:bCs w:val="0"/>
          <w:sz w:val="20"/>
          <w:szCs w:val="20"/>
        </w:rPr>
        <w:t>ig.</w:t>
      </w:r>
    </w:p>
    <w:p w14:paraId="715A7FC1" w14:textId="77777777" w:rsidR="006F4EBE" w:rsidRPr="00C61C5E" w:rsidRDefault="006F4EBE" w:rsidP="006F4EBE">
      <w:pPr>
        <w:pStyle w:val="BodyText"/>
        <w:ind w:left="360"/>
        <w:jc w:val="left"/>
        <w:rPr>
          <w:rFonts w:ascii="Arial" w:hAnsi="Arial" w:cs="Arial"/>
          <w:bCs w:val="0"/>
          <w:sz w:val="10"/>
          <w:szCs w:val="10"/>
        </w:rPr>
      </w:pPr>
    </w:p>
    <w:p w14:paraId="7818F82F" w14:textId="63DCE4C0" w:rsidR="006F4EBE" w:rsidRPr="00C61C5E" w:rsidRDefault="006F4EBE" w:rsidP="006F4EBE">
      <w:pPr>
        <w:pStyle w:val="BodyText"/>
        <w:jc w:val="left"/>
        <w:rPr>
          <w:rFonts w:ascii="Arial" w:hAnsi="Arial" w:cs="Arial"/>
          <w:bCs w:val="0"/>
          <w:sz w:val="22"/>
          <w:szCs w:val="22"/>
        </w:rPr>
      </w:pPr>
      <w:r w:rsidRPr="00C61C5E">
        <w:rPr>
          <w:rFonts w:ascii="Arial" w:hAnsi="Arial" w:cs="Arial"/>
          <w:bCs w:val="0"/>
          <w:sz w:val="22"/>
          <w:szCs w:val="22"/>
        </w:rPr>
        <w:t xml:space="preserve">How </w:t>
      </w:r>
      <w:r w:rsidR="00202194">
        <w:rPr>
          <w:rFonts w:ascii="Arial" w:hAnsi="Arial" w:cs="Arial"/>
          <w:bCs w:val="0"/>
          <w:sz w:val="22"/>
          <w:szCs w:val="22"/>
        </w:rPr>
        <w:t>Click Before You Dig</w:t>
      </w:r>
      <w:r>
        <w:rPr>
          <w:rFonts w:ascii="Arial" w:hAnsi="Arial" w:cs="Arial"/>
          <w:bCs w:val="0"/>
          <w:sz w:val="22"/>
          <w:szCs w:val="22"/>
        </w:rPr>
        <w:t xml:space="preserve"> works:</w:t>
      </w:r>
    </w:p>
    <w:p w14:paraId="70F621C6" w14:textId="1C7A1058" w:rsidR="006F4EBE" w:rsidRDefault="00202194" w:rsidP="006F4EBE">
      <w:pPr>
        <w:pStyle w:val="BodyText"/>
        <w:numPr>
          <w:ilvl w:val="0"/>
          <w:numId w:val="4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Visiting ClickBeforeYouDig.com will </w:t>
      </w:r>
      <w:r w:rsidR="004651F0">
        <w:rPr>
          <w:rFonts w:ascii="Arial" w:hAnsi="Arial" w:cs="Arial"/>
          <w:b w:val="0"/>
          <w:bCs w:val="0"/>
          <w:sz w:val="20"/>
          <w:szCs w:val="20"/>
        </w:rPr>
        <w:t>connect you with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your local one-call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centre</w:t>
      </w:r>
      <w:proofErr w:type="spellEnd"/>
      <w:r w:rsidR="006F4EBE" w:rsidRPr="00C61C5E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423AFEF5" w14:textId="70681216" w:rsidR="00202194" w:rsidRPr="004651F0" w:rsidRDefault="004651F0" w:rsidP="004651F0">
      <w:pPr>
        <w:pStyle w:val="BodyText"/>
        <w:numPr>
          <w:ilvl w:val="0"/>
          <w:numId w:val="4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Requesting locates online is a convenient way to submit a request at your convenience. A ticket confirmation will be sent via email once your request has been processed.</w:t>
      </w:r>
    </w:p>
    <w:p w14:paraId="2D7AAF21" w14:textId="78E3BBB8" w:rsidR="006F4EBE" w:rsidRPr="00C61C5E" w:rsidRDefault="004651F0" w:rsidP="006F4EBE">
      <w:pPr>
        <w:pStyle w:val="BodyText"/>
        <w:numPr>
          <w:ilvl w:val="0"/>
          <w:numId w:val="4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When submitting your locate request, provide a</w:t>
      </w:r>
      <w:r w:rsidR="008E2ACF">
        <w:rPr>
          <w:rFonts w:ascii="Arial" w:hAnsi="Arial" w:cs="Arial"/>
          <w:b w:val="0"/>
          <w:bCs w:val="0"/>
          <w:sz w:val="20"/>
          <w:szCs w:val="20"/>
        </w:rPr>
        <w:t>n accurate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F4EBE" w:rsidRPr="00C61C5E">
        <w:rPr>
          <w:rFonts w:ascii="Arial" w:hAnsi="Arial" w:cs="Arial"/>
          <w:b w:val="0"/>
          <w:bCs w:val="0"/>
          <w:sz w:val="20"/>
          <w:szCs w:val="20"/>
        </w:rPr>
        <w:t xml:space="preserve">location and description of the </w:t>
      </w:r>
      <w:r>
        <w:rPr>
          <w:rFonts w:ascii="Arial" w:hAnsi="Arial" w:cs="Arial"/>
          <w:b w:val="0"/>
          <w:bCs w:val="0"/>
          <w:sz w:val="20"/>
          <w:szCs w:val="20"/>
        </w:rPr>
        <w:t>planned digging</w:t>
      </w:r>
      <w:r w:rsidR="006F4EBE" w:rsidRPr="00C61C5E">
        <w:rPr>
          <w:rFonts w:ascii="Arial" w:hAnsi="Arial" w:cs="Arial"/>
          <w:b w:val="0"/>
          <w:bCs w:val="0"/>
          <w:sz w:val="20"/>
          <w:szCs w:val="20"/>
        </w:rPr>
        <w:t xml:space="preserve"> site.</w:t>
      </w:r>
    </w:p>
    <w:p w14:paraId="569D44C0" w14:textId="77777777" w:rsidR="006F4EBE" w:rsidRPr="00C61C5E" w:rsidRDefault="006F4EBE" w:rsidP="006F4EBE">
      <w:pPr>
        <w:pStyle w:val="BodyText"/>
        <w:numPr>
          <w:ilvl w:val="0"/>
          <w:numId w:val="4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61C5E">
        <w:rPr>
          <w:rFonts w:ascii="Arial" w:hAnsi="Arial" w:cs="Arial"/>
          <w:b w:val="0"/>
          <w:bCs w:val="0"/>
          <w:sz w:val="20"/>
          <w:szCs w:val="20"/>
        </w:rPr>
        <w:t>The affected utility companies will be notified of the intent to dig.</w:t>
      </w:r>
    </w:p>
    <w:p w14:paraId="6A6369B1" w14:textId="77777777" w:rsidR="006F4EBE" w:rsidRPr="00C61C5E" w:rsidRDefault="006F4EBE" w:rsidP="006F4EBE">
      <w:pPr>
        <w:pStyle w:val="BodyText"/>
        <w:numPr>
          <w:ilvl w:val="0"/>
          <w:numId w:val="4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61C5E">
        <w:rPr>
          <w:rFonts w:ascii="Arial" w:hAnsi="Arial" w:cs="Arial"/>
          <w:b w:val="0"/>
          <w:bCs w:val="0"/>
          <w:sz w:val="20"/>
          <w:szCs w:val="20"/>
        </w:rPr>
        <w:t xml:space="preserve">The utility companies will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each </w:t>
      </w:r>
      <w:r w:rsidRPr="00C61C5E">
        <w:rPr>
          <w:rFonts w:ascii="Arial" w:hAnsi="Arial" w:cs="Arial"/>
          <w:b w:val="0"/>
          <w:bCs w:val="0"/>
          <w:sz w:val="20"/>
          <w:szCs w:val="20"/>
        </w:rPr>
        <w:t>send a professional locator to the digging site to identify and mark the approximate location of the underground lines.</w:t>
      </w:r>
    </w:p>
    <w:p w14:paraId="02DA9361" w14:textId="5BAE5029" w:rsidR="006F4EBE" w:rsidRDefault="006F4EBE" w:rsidP="006F4EBE">
      <w:pPr>
        <w:pStyle w:val="BodyText"/>
        <w:numPr>
          <w:ilvl w:val="0"/>
          <w:numId w:val="4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Once</w:t>
      </w:r>
      <w:r w:rsidRPr="00C61C5E">
        <w:rPr>
          <w:rFonts w:ascii="Arial" w:hAnsi="Arial" w:cs="Arial"/>
          <w:b w:val="0"/>
          <w:bCs w:val="0"/>
          <w:sz w:val="20"/>
          <w:szCs w:val="20"/>
        </w:rPr>
        <w:t xml:space="preserve"> lines have been marked, you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should respect the marks and </w:t>
      </w:r>
      <w:r w:rsidRPr="00C61C5E">
        <w:rPr>
          <w:rFonts w:ascii="Arial" w:hAnsi="Arial" w:cs="Arial"/>
          <w:b w:val="0"/>
          <w:bCs w:val="0"/>
          <w:sz w:val="20"/>
          <w:szCs w:val="20"/>
        </w:rPr>
        <w:t>dig carefully around the</w:t>
      </w:r>
      <w:r>
        <w:rPr>
          <w:rFonts w:ascii="Arial" w:hAnsi="Arial" w:cs="Arial"/>
          <w:b w:val="0"/>
          <w:bCs w:val="0"/>
          <w:sz w:val="20"/>
          <w:szCs w:val="20"/>
        </w:rPr>
        <w:t>m.</w:t>
      </w:r>
    </w:p>
    <w:p w14:paraId="49462F1A" w14:textId="06D642DA" w:rsidR="00A3215E" w:rsidRPr="00C61C5E" w:rsidRDefault="00A3215E" w:rsidP="006F4EBE">
      <w:pPr>
        <w:pStyle w:val="BodyText"/>
        <w:numPr>
          <w:ilvl w:val="0"/>
          <w:numId w:val="4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If you must dig within one meter of a buried utility, use hand tools to carefully expose the line before digging further.</w:t>
      </w:r>
    </w:p>
    <w:p w14:paraId="7BC592D4" w14:textId="2ADEF6F4" w:rsidR="006F4EBE" w:rsidRPr="00C61C5E" w:rsidRDefault="006F4EBE" w:rsidP="008C4DAF">
      <w:pPr>
        <w:pStyle w:val="BodyText"/>
        <w:jc w:val="left"/>
        <w:rPr>
          <w:rFonts w:ascii="Arial" w:hAnsi="Arial" w:cs="Arial"/>
          <w:b w:val="0"/>
          <w:bCs w:val="0"/>
          <w:sz w:val="10"/>
          <w:szCs w:val="10"/>
        </w:rPr>
      </w:pPr>
    </w:p>
    <w:p w14:paraId="659ECD7E" w14:textId="77777777" w:rsidR="006F4EBE" w:rsidRPr="00C61C5E" w:rsidRDefault="006F4EBE" w:rsidP="006F4EBE">
      <w:pPr>
        <w:pStyle w:val="BodyText"/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Types of projects:</w:t>
      </w:r>
    </w:p>
    <w:p w14:paraId="183E4BFE" w14:textId="34955DC4" w:rsidR="006F4EBE" w:rsidRPr="00C61C5E" w:rsidRDefault="006F4EBE" w:rsidP="006F4EBE">
      <w:pPr>
        <w:pStyle w:val="BodyText"/>
        <w:numPr>
          <w:ilvl w:val="0"/>
          <w:numId w:val="3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61C5E">
        <w:rPr>
          <w:rFonts w:ascii="Arial" w:hAnsi="Arial" w:cs="Arial"/>
          <w:b w:val="0"/>
          <w:bCs w:val="0"/>
          <w:sz w:val="20"/>
          <w:szCs w:val="20"/>
        </w:rPr>
        <w:t>Lines need to be marked for each separate project, such as putt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ing up a fence, planting </w:t>
      </w:r>
      <w:r w:rsidR="00A3215E">
        <w:rPr>
          <w:rFonts w:ascii="Arial" w:hAnsi="Arial" w:cs="Arial"/>
          <w:b w:val="0"/>
          <w:bCs w:val="0"/>
          <w:sz w:val="20"/>
          <w:szCs w:val="20"/>
        </w:rPr>
        <w:t>a tree</w:t>
      </w:r>
      <w:r w:rsidRPr="00C61C5E">
        <w:rPr>
          <w:rFonts w:ascii="Arial" w:hAnsi="Arial" w:cs="Arial"/>
          <w:b w:val="0"/>
          <w:bCs w:val="0"/>
          <w:sz w:val="20"/>
          <w:szCs w:val="20"/>
        </w:rPr>
        <w:t xml:space="preserve"> or building a deck.</w:t>
      </w:r>
    </w:p>
    <w:p w14:paraId="28F6145C" w14:textId="0E964DB2" w:rsidR="006F4EBE" w:rsidRPr="00C61C5E" w:rsidRDefault="00A3215E" w:rsidP="006F4EBE">
      <w:pPr>
        <w:pStyle w:val="BodyText"/>
        <w:numPr>
          <w:ilvl w:val="0"/>
          <w:numId w:val="3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Submit your locate request</w:t>
      </w:r>
      <w:r w:rsidR="006F4EBE" w:rsidRPr="00C61C5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F4EBE">
        <w:rPr>
          <w:rFonts w:ascii="Arial" w:hAnsi="Arial" w:cs="Arial"/>
          <w:b w:val="0"/>
          <w:bCs w:val="0"/>
          <w:sz w:val="20"/>
          <w:szCs w:val="20"/>
        </w:rPr>
        <w:t>a few days</w:t>
      </w:r>
      <w:r w:rsidR="006F4EBE" w:rsidRPr="00C61C5E">
        <w:rPr>
          <w:rFonts w:ascii="Arial" w:hAnsi="Arial" w:cs="Arial"/>
          <w:b w:val="0"/>
          <w:bCs w:val="0"/>
          <w:sz w:val="20"/>
          <w:szCs w:val="20"/>
        </w:rPr>
        <w:t xml:space="preserve"> prior to digging to allow time for professional locators to mark the utility lines.</w:t>
      </w:r>
    </w:p>
    <w:p w14:paraId="0377D309" w14:textId="31ABE706" w:rsidR="006F4EBE" w:rsidRPr="00C61C5E" w:rsidRDefault="006F4EBE" w:rsidP="006F4EBE">
      <w:pPr>
        <w:pStyle w:val="BodyText"/>
        <w:numPr>
          <w:ilvl w:val="0"/>
          <w:numId w:val="3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61C5E">
        <w:rPr>
          <w:rFonts w:ascii="Arial" w:hAnsi="Arial" w:cs="Arial"/>
          <w:b w:val="0"/>
          <w:bCs w:val="0"/>
          <w:sz w:val="20"/>
          <w:szCs w:val="20"/>
        </w:rPr>
        <w:t xml:space="preserve">Even if you’ve hired a contractor, make sure the contractor </w:t>
      </w:r>
      <w:r w:rsidR="004651F0">
        <w:rPr>
          <w:rFonts w:ascii="Arial" w:hAnsi="Arial" w:cs="Arial"/>
          <w:b w:val="0"/>
          <w:bCs w:val="0"/>
          <w:sz w:val="20"/>
          <w:szCs w:val="20"/>
        </w:rPr>
        <w:t>visits ClickBeforeYouDig.com</w:t>
      </w:r>
      <w:r w:rsidR="00A3215E">
        <w:rPr>
          <w:rFonts w:ascii="Arial" w:hAnsi="Arial" w:cs="Arial"/>
          <w:b w:val="0"/>
          <w:bCs w:val="0"/>
          <w:sz w:val="20"/>
          <w:szCs w:val="20"/>
        </w:rPr>
        <w:t xml:space="preserve"> to have lines marked.</w:t>
      </w:r>
    </w:p>
    <w:p w14:paraId="399D673B" w14:textId="77777777" w:rsidR="008C4DAF" w:rsidRDefault="008C4DAF" w:rsidP="006F4EBE">
      <w:pPr>
        <w:pStyle w:val="BodyText"/>
        <w:jc w:val="left"/>
        <w:rPr>
          <w:rFonts w:ascii="Arial" w:hAnsi="Arial" w:cs="Arial"/>
          <w:b w:val="0"/>
          <w:bCs w:val="0"/>
          <w:sz w:val="10"/>
          <w:szCs w:val="10"/>
        </w:rPr>
      </w:pPr>
    </w:p>
    <w:p w14:paraId="0780EBC6" w14:textId="736D0D20" w:rsidR="006F4EBE" w:rsidRPr="00C61C5E" w:rsidRDefault="006F4EBE" w:rsidP="006F4EBE">
      <w:pPr>
        <w:pStyle w:val="BodyText"/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Consequences:</w:t>
      </w:r>
    </w:p>
    <w:p w14:paraId="77E1B14A" w14:textId="6278E47B" w:rsidR="006F4EBE" w:rsidRPr="006D480B" w:rsidRDefault="00F261E5" w:rsidP="006F4EBE">
      <w:pPr>
        <w:pStyle w:val="BodyText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</w:rPr>
        <w:t xml:space="preserve">Every year, </w:t>
      </w:r>
      <w:r w:rsidR="00665FA3">
        <w:rPr>
          <w:rFonts w:ascii="Arial" w:hAnsi="Arial" w:cs="Arial"/>
          <w:b w:val="0"/>
          <w:sz w:val="20"/>
        </w:rPr>
        <w:t xml:space="preserve">the estimated cost of damaging </w:t>
      </w:r>
      <w:r>
        <w:rPr>
          <w:rFonts w:ascii="Arial" w:hAnsi="Arial" w:cs="Arial"/>
          <w:b w:val="0"/>
          <w:sz w:val="20"/>
        </w:rPr>
        <w:t xml:space="preserve">buried utilities </w:t>
      </w:r>
      <w:r w:rsidR="00665FA3">
        <w:rPr>
          <w:rFonts w:ascii="Arial" w:hAnsi="Arial" w:cs="Arial"/>
          <w:b w:val="0"/>
          <w:sz w:val="20"/>
        </w:rPr>
        <w:t>in Canada</w:t>
      </w:r>
      <w:r>
        <w:rPr>
          <w:rFonts w:ascii="Arial" w:hAnsi="Arial" w:cs="Arial"/>
          <w:b w:val="0"/>
          <w:sz w:val="20"/>
        </w:rPr>
        <w:t xml:space="preserve"> </w:t>
      </w:r>
      <w:r w:rsidR="00665FA3">
        <w:rPr>
          <w:rFonts w:ascii="Arial" w:hAnsi="Arial" w:cs="Arial"/>
          <w:b w:val="0"/>
          <w:sz w:val="20"/>
        </w:rPr>
        <w:t xml:space="preserve">is more than </w:t>
      </w:r>
      <w:r>
        <w:rPr>
          <w:rFonts w:ascii="Arial" w:hAnsi="Arial" w:cs="Arial"/>
          <w:b w:val="0"/>
          <w:sz w:val="20"/>
        </w:rPr>
        <w:t>$1 billion.</w:t>
      </w:r>
    </w:p>
    <w:p w14:paraId="185357E2" w14:textId="77777777" w:rsidR="00665FA3" w:rsidRDefault="006F4EBE" w:rsidP="00665FA3">
      <w:pPr>
        <w:pStyle w:val="BodyText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61C5E">
        <w:rPr>
          <w:rFonts w:ascii="Arial" w:hAnsi="Arial" w:cs="Arial"/>
          <w:b w:val="0"/>
          <w:bCs w:val="0"/>
          <w:sz w:val="20"/>
          <w:szCs w:val="20"/>
        </w:rPr>
        <w:t>Hitting an underground utility line while digging can cause serious injuries, disrupt service to entire neighborhoods, and potentially result in fines</w:t>
      </w:r>
      <w:r w:rsidR="00F261E5">
        <w:rPr>
          <w:rFonts w:ascii="Arial" w:hAnsi="Arial" w:cs="Arial"/>
          <w:b w:val="0"/>
          <w:bCs w:val="0"/>
          <w:sz w:val="20"/>
          <w:szCs w:val="20"/>
        </w:rPr>
        <w:t xml:space="preserve"> and repair costs.</w:t>
      </w:r>
    </w:p>
    <w:p w14:paraId="4F517FF3" w14:textId="5059991A" w:rsidR="00665FA3" w:rsidRPr="00665FA3" w:rsidRDefault="00665FA3" w:rsidP="00665FA3">
      <w:pPr>
        <w:pStyle w:val="BodyText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65FA3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  <w:lang w:val="en-CA" w:eastAsia="en-CA"/>
        </w:rPr>
        <w:t>Even minor marks or dents can compromise a buried utility's overall integrity and lead to problems at a later date.</w:t>
      </w:r>
    </w:p>
    <w:p w14:paraId="551B71BD" w14:textId="77777777" w:rsidR="006F4EBE" w:rsidRPr="00C61C5E" w:rsidRDefault="006F4EBE" w:rsidP="006F4EBE">
      <w:pPr>
        <w:pStyle w:val="BodyText"/>
        <w:ind w:left="360"/>
        <w:jc w:val="left"/>
        <w:rPr>
          <w:rFonts w:ascii="Arial" w:hAnsi="Arial" w:cs="Arial"/>
          <w:bCs w:val="0"/>
          <w:sz w:val="10"/>
          <w:szCs w:val="10"/>
        </w:rPr>
      </w:pPr>
    </w:p>
    <w:p w14:paraId="79422EDC" w14:textId="4395EBE0" w:rsidR="006F4EBE" w:rsidRPr="00C61C5E" w:rsidRDefault="006F4EBE" w:rsidP="006F4EBE">
      <w:pPr>
        <w:pStyle w:val="BodyText"/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More information:</w:t>
      </w:r>
    </w:p>
    <w:p w14:paraId="7B0C9CBD" w14:textId="5DAB401B" w:rsidR="006F4EBE" w:rsidRDefault="006F4EBE" w:rsidP="006F4EBE">
      <w:pPr>
        <w:pStyle w:val="BodyText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00102">
        <w:rPr>
          <w:rFonts w:ascii="Arial" w:hAnsi="Arial" w:cs="Arial"/>
          <w:b w:val="0"/>
          <w:bCs w:val="0"/>
          <w:sz w:val="20"/>
          <w:szCs w:val="20"/>
        </w:rPr>
        <w:t xml:space="preserve">To learn more about </w:t>
      </w:r>
      <w:r w:rsidR="00A3215E">
        <w:rPr>
          <w:rFonts w:ascii="Arial" w:hAnsi="Arial" w:cs="Arial"/>
          <w:b w:val="0"/>
          <w:bCs w:val="0"/>
          <w:sz w:val="20"/>
          <w:szCs w:val="20"/>
        </w:rPr>
        <w:t>damage prevention in Canada</w:t>
      </w:r>
      <w:r w:rsidRPr="00200102">
        <w:rPr>
          <w:rFonts w:ascii="Arial" w:hAnsi="Arial" w:cs="Arial"/>
          <w:b w:val="0"/>
          <w:bCs w:val="0"/>
          <w:sz w:val="20"/>
          <w:szCs w:val="20"/>
        </w:rPr>
        <w:t>, visi</w:t>
      </w:r>
      <w:r w:rsidR="00A3215E">
        <w:rPr>
          <w:rFonts w:ascii="Arial" w:hAnsi="Arial" w:cs="Arial"/>
          <w:b w:val="0"/>
          <w:bCs w:val="0"/>
          <w:sz w:val="20"/>
          <w:szCs w:val="20"/>
        </w:rPr>
        <w:t>t DigSafeCanada.ca</w:t>
      </w:r>
      <w:r w:rsidRPr="00200102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5E85386D" w14:textId="4A21E545" w:rsidR="006F4EBE" w:rsidRDefault="006F4EBE"/>
    <w:sectPr w:rsidR="006F4EBE" w:rsidSect="003E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931"/>
    <w:multiLevelType w:val="hybridMultilevel"/>
    <w:tmpl w:val="A956B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6FC"/>
    <w:multiLevelType w:val="hybridMultilevel"/>
    <w:tmpl w:val="DC6A5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7156"/>
    <w:multiLevelType w:val="hybridMultilevel"/>
    <w:tmpl w:val="A010F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3EB"/>
    <w:multiLevelType w:val="hybridMultilevel"/>
    <w:tmpl w:val="73E0C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A4"/>
    <w:rsid w:val="00202194"/>
    <w:rsid w:val="003E1AD8"/>
    <w:rsid w:val="004651F0"/>
    <w:rsid w:val="004762D6"/>
    <w:rsid w:val="004F4732"/>
    <w:rsid w:val="00585F4A"/>
    <w:rsid w:val="006211A4"/>
    <w:rsid w:val="006338AF"/>
    <w:rsid w:val="00665FA3"/>
    <w:rsid w:val="006F4EBE"/>
    <w:rsid w:val="00846EE8"/>
    <w:rsid w:val="008C4DAF"/>
    <w:rsid w:val="008E2ACF"/>
    <w:rsid w:val="00935F75"/>
    <w:rsid w:val="00A3215E"/>
    <w:rsid w:val="00DD146B"/>
    <w:rsid w:val="00E20789"/>
    <w:rsid w:val="00F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CC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1A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211A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11A4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211A4"/>
    <w:rPr>
      <w:color w:val="0000FF"/>
      <w:u w:val="single"/>
    </w:rPr>
  </w:style>
  <w:style w:type="paragraph" w:styleId="BodyText">
    <w:name w:val="Body Text"/>
    <w:basedOn w:val="Normal"/>
    <w:link w:val="BodyTextChar"/>
    <w:rsid w:val="006211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11A4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1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1A4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65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66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Sean Sullivan</cp:lastModifiedBy>
  <cp:revision>7</cp:revision>
  <dcterms:created xsi:type="dcterms:W3CDTF">2018-03-12T14:06:00Z</dcterms:created>
  <dcterms:modified xsi:type="dcterms:W3CDTF">2018-03-27T16:47:00Z</dcterms:modified>
</cp:coreProperties>
</file>